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C21B25" w:rsidP="00EF2B2C">
      <w:r>
        <w:rPr>
          <w:noProof/>
          <w:lang w:eastAsia="en-GB"/>
        </w:rPr>
        <w:drawing>
          <wp:anchor distT="0" distB="0" distL="114300" distR="114300" simplePos="0" relativeHeight="251659264" behindDoc="0" locked="0" layoutInCell="1" allowOverlap="1" wp14:anchorId="54A9BF51" wp14:editId="0F1D5E18">
            <wp:simplePos x="0" y="0"/>
            <wp:positionH relativeFrom="column">
              <wp:posOffset>4785360</wp:posOffset>
            </wp:positionH>
            <wp:positionV relativeFrom="paragraph">
              <wp:posOffset>5080</wp:posOffset>
            </wp:positionV>
            <wp:extent cx="1173480" cy="65814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3480" cy="658142"/>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w:t>
      </w:r>
      <w:r w:rsidR="00EF2B2C" w:rsidRPr="00C21B25">
        <w:t>asse</w:t>
      </w:r>
      <w:r w:rsidR="00321D93" w:rsidRPr="00C21B25">
        <w:t xml:space="preserve">ssor from </w:t>
      </w:r>
      <w:r w:rsidR="00C21B25" w:rsidRPr="00C21B25">
        <w:t>Centre for Assessment</w:t>
      </w:r>
      <w:r w:rsidR="00EF2B2C" w:rsidRPr="00C21B25">
        <w:t xml:space="preserve"> (the Certifying Body). Such verification may take a number of forms, and could include, for example, a telephone conference. The verification process will be at the </w:t>
      </w:r>
      <w:r w:rsidR="00321D93" w:rsidRPr="00C21B25">
        <w:t xml:space="preserve">discretion of </w:t>
      </w:r>
      <w:r w:rsidR="00C21B25" w:rsidRPr="00C21B25">
        <w:t>Centre for Assessment</w:t>
      </w:r>
      <w:r w:rsidR="00C21B25">
        <w:t>.</w:t>
      </w:r>
    </w:p>
    <w:p w:rsidR="00C21B25" w:rsidRDefault="00C21B25" w:rsidP="00C21B25">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C21B25" w:rsidRPr="00A404C3" w:rsidTr="00EA74BD">
        <w:tc>
          <w:tcPr>
            <w:tcW w:w="0" w:type="auto"/>
            <w:shd w:val="clear" w:color="auto" w:fill="FFFFFF"/>
            <w:tcMar>
              <w:top w:w="0" w:type="dxa"/>
              <w:left w:w="0" w:type="dxa"/>
              <w:bottom w:w="0" w:type="dxa"/>
              <w:right w:w="0" w:type="dxa"/>
            </w:tcMar>
            <w:vAlign w:val="center"/>
            <w:hideMark/>
          </w:tcPr>
          <w:p w:rsidR="00C21B25" w:rsidRPr="00D3679C" w:rsidRDefault="00C21B25" w:rsidP="00EA74BD">
            <w:pPr>
              <w:spacing w:after="0" w:line="240" w:lineRule="auto"/>
            </w:pPr>
            <w:r w:rsidRPr="00D3679C">
              <w:t>When you have completed the document you should email it to;</w:t>
            </w:r>
          </w:p>
        </w:tc>
      </w:tr>
      <w:tr w:rsidR="00C21B25" w:rsidTr="00EA74BD">
        <w:tc>
          <w:tcPr>
            <w:tcW w:w="0" w:type="auto"/>
            <w:shd w:val="clear" w:color="auto" w:fill="FFFFFF"/>
            <w:tcMar>
              <w:top w:w="0" w:type="dxa"/>
              <w:left w:w="0" w:type="dxa"/>
              <w:bottom w:w="0" w:type="dxa"/>
              <w:right w:w="0" w:type="dxa"/>
            </w:tcMar>
            <w:vAlign w:val="center"/>
            <w:hideMark/>
          </w:tcPr>
          <w:p w:rsidR="00C21B25" w:rsidRPr="00D3679C" w:rsidRDefault="00C21B25" w:rsidP="00EA74BD">
            <w:pPr>
              <w:spacing w:after="0" w:line="240" w:lineRule="auto"/>
            </w:pPr>
            <w:r>
              <w:t>Dave Harrison</w:t>
            </w:r>
          </w:p>
        </w:tc>
      </w:tr>
      <w:tr w:rsidR="00C21B25" w:rsidTr="00EA74BD">
        <w:tc>
          <w:tcPr>
            <w:tcW w:w="0" w:type="auto"/>
            <w:shd w:val="clear" w:color="auto" w:fill="FFFFFF"/>
            <w:tcMar>
              <w:top w:w="0" w:type="dxa"/>
              <w:left w:w="0" w:type="dxa"/>
              <w:bottom w:w="0" w:type="dxa"/>
              <w:right w:w="0" w:type="dxa"/>
            </w:tcMar>
            <w:vAlign w:val="center"/>
            <w:hideMark/>
          </w:tcPr>
          <w:p w:rsidR="00C21B25" w:rsidRPr="00D3679C" w:rsidRDefault="00C21B25" w:rsidP="00EA74BD">
            <w:pPr>
              <w:spacing w:after="0" w:line="240" w:lineRule="auto"/>
              <w:rPr>
                <w:rFonts w:cstheme="minorHAnsi"/>
                <w:shd w:val="clear" w:color="auto" w:fill="FFFFFF"/>
              </w:rPr>
            </w:pPr>
            <w:r>
              <w:rPr>
                <w:rFonts w:cstheme="minorHAnsi"/>
                <w:shd w:val="clear" w:color="auto" w:fill="FFFFFF"/>
              </w:rPr>
              <w:t>0161 237 4080</w:t>
            </w:r>
          </w:p>
          <w:p w:rsidR="00C21B25" w:rsidRDefault="00C21B25" w:rsidP="00EA74BD">
            <w:pPr>
              <w:spacing w:after="0" w:line="240" w:lineRule="auto"/>
              <w:rPr>
                <w:rFonts w:cstheme="minorHAnsi"/>
              </w:rPr>
            </w:pPr>
            <w:hyperlink r:id="rId11" w:history="1">
              <w:r w:rsidRPr="007446EE">
                <w:rPr>
                  <w:rStyle w:val="Hyperlink"/>
                  <w:rFonts w:cstheme="minorHAnsi"/>
                </w:rPr>
                <w:t>enquiries@centreforassessment.co.uk</w:t>
              </w:r>
            </w:hyperlink>
            <w:r>
              <w:rPr>
                <w:rFonts w:cstheme="minorHAnsi"/>
              </w:rPr>
              <w:t xml:space="preserve"> </w:t>
            </w:r>
          </w:p>
          <w:p w:rsidR="00C21B25" w:rsidRDefault="00C21B25" w:rsidP="00EA74BD">
            <w:pPr>
              <w:spacing w:after="0" w:line="240" w:lineRule="auto"/>
              <w:rPr>
                <w:rFonts w:cstheme="minorHAnsi"/>
              </w:rPr>
            </w:pPr>
          </w:p>
          <w:p w:rsidR="00C21B25" w:rsidRPr="00A404C3" w:rsidRDefault="00C21B25" w:rsidP="00C21B25">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Sam for details.</w:t>
            </w:r>
          </w:p>
          <w:p w:rsidR="00C21B25" w:rsidRDefault="00C21B25" w:rsidP="00C21B25">
            <w:pPr>
              <w:spacing w:after="0" w:line="240" w:lineRule="auto"/>
              <w:rPr>
                <w:rFonts w:eastAsia="Times New Roman" w:cstheme="minorHAnsi"/>
                <w:b/>
                <w:color w:val="333333"/>
                <w:lang w:eastAsia="en-GB"/>
              </w:rPr>
            </w:pPr>
          </w:p>
          <w:p w:rsidR="00C21B25" w:rsidRPr="00D3679C" w:rsidRDefault="00C21B25" w:rsidP="00C21B25">
            <w:pPr>
              <w:spacing w:after="0" w:line="240" w:lineRule="auto"/>
              <w:rPr>
                <w:rFonts w:cstheme="minorHAnsi"/>
              </w:rPr>
            </w:pPr>
            <w:r w:rsidRPr="00A404C3">
              <w:rPr>
                <w:rFonts w:eastAsia="Times New Roman" w:cstheme="minorHAnsi"/>
                <w:b/>
                <w:color w:val="333333"/>
                <w:lang w:eastAsia="en-GB"/>
              </w:rPr>
              <w:t>REMEMBER TO ENSURE IT HAS BEEN SIGNED BY A SENIOR MEMBER OF YOUR COMPANY.</w:t>
            </w:r>
          </w:p>
        </w:tc>
      </w:tr>
    </w:tbl>
    <w:p w:rsidR="00C21B25" w:rsidRDefault="00C21B25" w:rsidP="00EF2B2C"/>
    <w:p w:rsidR="00C21B25" w:rsidRDefault="00C21B25" w:rsidP="009330F8">
      <w:pPr>
        <w:rPr>
          <w:b/>
          <w:color w:val="548DD4" w:themeColor="text2" w:themeTint="99"/>
          <w:sz w:val="28"/>
          <w:szCs w:val="28"/>
        </w:rPr>
      </w:pPr>
    </w:p>
    <w:p w:rsidR="009330F8" w:rsidRPr="009330F8" w:rsidRDefault="009330F8" w:rsidP="009330F8">
      <w:pPr>
        <w:rPr>
          <w:b/>
          <w:color w:val="548DD4" w:themeColor="text2" w:themeTint="99"/>
          <w:sz w:val="28"/>
          <w:szCs w:val="28"/>
        </w:rPr>
      </w:pPr>
      <w:bookmarkStart w:id="0" w:name="_GoBack"/>
      <w:bookmarkEnd w:id="0"/>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C21B25">
        <w:rPr>
          <w:sz w:val="22"/>
          <w:szCs w:val="22"/>
        </w:rPr>
        <w:t xml:space="preserve"> Centre for Assessment</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4C" w:rsidRDefault="00C8064C" w:rsidP="00EF2B2C">
      <w:pPr>
        <w:spacing w:after="0" w:line="240" w:lineRule="auto"/>
      </w:pPr>
      <w:r>
        <w:separator/>
      </w:r>
    </w:p>
  </w:endnote>
  <w:endnote w:type="continuationSeparator" w:id="0">
    <w:p w:rsidR="00C8064C" w:rsidRDefault="00C8064C"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4C" w:rsidRDefault="00C8064C" w:rsidP="00EF2B2C">
      <w:pPr>
        <w:spacing w:after="0" w:line="240" w:lineRule="auto"/>
      </w:pPr>
      <w:r>
        <w:separator/>
      </w:r>
    </w:p>
  </w:footnote>
  <w:footnote w:type="continuationSeparator" w:id="0">
    <w:p w:rsidR="00C8064C" w:rsidRDefault="00C8064C"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1B25"/>
    <w:rsid w:val="00C24B54"/>
    <w:rsid w:val="00C2579C"/>
    <w:rsid w:val="00C64087"/>
    <w:rsid w:val="00C64D1B"/>
    <w:rsid w:val="00C735B4"/>
    <w:rsid w:val="00C75278"/>
    <w:rsid w:val="00C8064C"/>
    <w:rsid w:val="00CA294C"/>
    <w:rsid w:val="00CC26DC"/>
    <w:rsid w:val="00CC76BE"/>
    <w:rsid w:val="00CE5821"/>
    <w:rsid w:val="00D64234"/>
    <w:rsid w:val="00DA0383"/>
    <w:rsid w:val="00DC049E"/>
    <w:rsid w:val="00E04BDF"/>
    <w:rsid w:val="00EC0F63"/>
    <w:rsid w:val="00ED6828"/>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8127"/>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entreforassessmen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E59B-9CBF-4312-A346-7344EF0A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11</cp:revision>
  <dcterms:created xsi:type="dcterms:W3CDTF">2017-06-23T13:47:00Z</dcterms:created>
  <dcterms:modified xsi:type="dcterms:W3CDTF">2017-08-17T10:21:00Z</dcterms:modified>
</cp:coreProperties>
</file>